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47" w:rsidRPr="004D36BD" w:rsidRDefault="00721E90" w:rsidP="004D36BD">
      <w:pPr>
        <w:spacing w:after="115" w:line="240" w:lineRule="auto"/>
        <w:ind w:left="-5" w:right="1345" w:hanging="10"/>
        <w:contextualSpacing/>
        <w:jc w:val="left"/>
      </w:pPr>
      <w:r w:rsidRPr="004D36BD">
        <w:rPr>
          <w:b/>
          <w:u w:val="single" w:color="000000"/>
        </w:rPr>
        <w:t>Перечень документов, обязательных для предоставления</w:t>
      </w:r>
      <w:r w:rsidR="004D36BD">
        <w:rPr>
          <w:b/>
        </w:rPr>
        <w:t xml:space="preserve"> </w:t>
      </w:r>
      <w:r w:rsidRPr="004D36BD">
        <w:rPr>
          <w:b/>
          <w:u w:val="single" w:color="000000"/>
        </w:rPr>
        <w:t>для юридических лиц, являющихся резидентами Российской Федерации:</w:t>
      </w:r>
      <w:r w:rsidRPr="004D36BD">
        <w:rPr>
          <w:b/>
        </w:rPr>
        <w:t xml:space="preserve"> </w:t>
      </w:r>
    </w:p>
    <w:p w:rsidR="00C82547" w:rsidRPr="004D36BD" w:rsidRDefault="00721E90" w:rsidP="004D36BD">
      <w:pPr>
        <w:numPr>
          <w:ilvl w:val="0"/>
          <w:numId w:val="1"/>
        </w:numPr>
        <w:spacing w:line="240" w:lineRule="auto"/>
        <w:ind w:hanging="358"/>
        <w:contextualSpacing/>
      </w:pPr>
      <w:r w:rsidRPr="004D36BD">
        <w:t xml:space="preserve">учредительные документы (учредительный договор, устав); </w:t>
      </w:r>
    </w:p>
    <w:p w:rsidR="00C82547" w:rsidRPr="004D36BD" w:rsidRDefault="00721E90" w:rsidP="004D36BD">
      <w:pPr>
        <w:numPr>
          <w:ilvl w:val="0"/>
          <w:numId w:val="1"/>
        </w:numPr>
        <w:spacing w:line="240" w:lineRule="auto"/>
        <w:ind w:hanging="358"/>
        <w:contextualSpacing/>
      </w:pPr>
      <w:r w:rsidRPr="004D36BD">
        <w:t xml:space="preserve">свидетельство о государственной регистрации юридического лица; </w:t>
      </w:r>
    </w:p>
    <w:p w:rsidR="00C82547" w:rsidRPr="004D36BD" w:rsidRDefault="00721E90" w:rsidP="004D36BD">
      <w:pPr>
        <w:numPr>
          <w:ilvl w:val="0"/>
          <w:numId w:val="1"/>
        </w:numPr>
        <w:spacing w:line="240" w:lineRule="auto"/>
        <w:ind w:hanging="358"/>
        <w:contextualSpacing/>
      </w:pPr>
      <w:r w:rsidRPr="004D36BD">
        <w:t xml:space="preserve">свидетельство о постановке юридического лица на учет в налоговом органе по месту нахождения; </w:t>
      </w:r>
    </w:p>
    <w:p w:rsidR="007B56A5" w:rsidRPr="004D36BD" w:rsidRDefault="00721E90" w:rsidP="004D36BD">
      <w:pPr>
        <w:numPr>
          <w:ilvl w:val="0"/>
          <w:numId w:val="1"/>
        </w:numPr>
        <w:spacing w:line="240" w:lineRule="auto"/>
        <w:ind w:hanging="358"/>
        <w:contextualSpacing/>
      </w:pPr>
      <w:r w:rsidRPr="004D36BD">
        <w:t>документы, удостоверяющие полномочия представителя Контрагента на подписание договора (документ о назначении этого лица на должность единоличного исполнительного органа (директора, генерального директора), доверенность и т.п.);</w:t>
      </w:r>
    </w:p>
    <w:p w:rsidR="00C82547" w:rsidRPr="004D36BD" w:rsidRDefault="00721E90" w:rsidP="004D36BD">
      <w:pPr>
        <w:numPr>
          <w:ilvl w:val="0"/>
          <w:numId w:val="1"/>
        </w:numPr>
        <w:spacing w:line="240" w:lineRule="auto"/>
        <w:ind w:hanging="358"/>
        <w:contextualSpacing/>
      </w:pPr>
      <w:r w:rsidRPr="004D36BD">
        <w:t xml:space="preserve">выписка из решения коллегиального органа управления Контрагента об одобрении данной сделки (если данная сделка должна быть одобрена в соответствии с применимым законодательством и/или требованиями уставных документов Контрагента); </w:t>
      </w:r>
    </w:p>
    <w:p w:rsidR="004D36BD" w:rsidRDefault="00721E90" w:rsidP="004D36BD">
      <w:pPr>
        <w:numPr>
          <w:ilvl w:val="0"/>
          <w:numId w:val="1"/>
        </w:numPr>
        <w:tabs>
          <w:tab w:val="left" w:pos="567"/>
        </w:tabs>
        <w:suppressAutoHyphens/>
        <w:spacing w:before="120" w:after="0" w:line="240" w:lineRule="auto"/>
        <w:ind w:hanging="425"/>
        <w:contextualSpacing/>
      </w:pPr>
      <w:r w:rsidRPr="004D36BD">
        <w:t>выписка из Единого государственного реестра юридических лиц по Контрагенту, выданная нало</w:t>
      </w:r>
      <w:r w:rsidR="007B56A5" w:rsidRPr="004D36BD">
        <w:t>говым органом не ранее, чем за 1</w:t>
      </w:r>
      <w:r w:rsidRPr="004D36BD">
        <w:t xml:space="preserve"> (</w:t>
      </w:r>
      <w:r w:rsidR="007B56A5" w:rsidRPr="004D36BD">
        <w:t>один</w:t>
      </w:r>
      <w:r w:rsidRPr="004D36BD">
        <w:t>) месяц до заключ</w:t>
      </w:r>
      <w:r w:rsidR="004D36BD">
        <w:t>ения соответствующего договора;</w:t>
      </w:r>
    </w:p>
    <w:p w:rsidR="007B56A5" w:rsidRPr="004D36BD" w:rsidRDefault="007B56A5" w:rsidP="004D36BD">
      <w:pPr>
        <w:numPr>
          <w:ilvl w:val="0"/>
          <w:numId w:val="1"/>
        </w:numPr>
        <w:tabs>
          <w:tab w:val="left" w:pos="567"/>
        </w:tabs>
        <w:suppressAutoHyphens/>
        <w:spacing w:before="120" w:after="0" w:line="240" w:lineRule="auto"/>
        <w:ind w:hanging="425"/>
        <w:contextualSpacing/>
      </w:pPr>
      <w:r w:rsidRPr="004D36BD">
        <w:t>подтверждающие документы налогового органа (уведомления, свидетельства и пр.) в случае применения льготных режимов налогообложения;</w:t>
      </w:r>
    </w:p>
    <w:p w:rsidR="00C82547" w:rsidRPr="004D36BD" w:rsidRDefault="00721E90" w:rsidP="004D36BD">
      <w:pPr>
        <w:numPr>
          <w:ilvl w:val="0"/>
          <w:numId w:val="1"/>
        </w:numPr>
        <w:spacing w:after="0" w:line="240" w:lineRule="auto"/>
        <w:ind w:hanging="358"/>
        <w:contextualSpacing/>
      </w:pPr>
      <w:r w:rsidRPr="004D36BD">
        <w:t xml:space="preserve">бухгалтерская отчетность (бухгалтерский баланс и отчет о финансовых результатах, отчет о движении денежных средств), составленная по российским стандартам бухгалтерского учета с отметкой государственной налоговой инспекции о </w:t>
      </w:r>
      <w:proofErr w:type="spellStart"/>
      <w:r w:rsidRPr="004D36BD">
        <w:t>приѐме</w:t>
      </w:r>
      <w:proofErr w:type="spellEnd"/>
      <w:r w:rsidRPr="004D36BD">
        <w:t>, или бухгалтерская отчетность (</w:t>
      </w:r>
      <w:proofErr w:type="spellStart"/>
      <w:r w:rsidRPr="004D36BD">
        <w:t>balance</w:t>
      </w:r>
      <w:proofErr w:type="spellEnd"/>
      <w:r w:rsidRPr="004D36BD">
        <w:t xml:space="preserve"> </w:t>
      </w:r>
      <w:proofErr w:type="spellStart"/>
      <w:r w:rsidRPr="004D36BD">
        <w:t>sheet</w:t>
      </w:r>
      <w:proofErr w:type="spellEnd"/>
      <w:r w:rsidRPr="004D36BD">
        <w:t xml:space="preserve">, </w:t>
      </w:r>
      <w:proofErr w:type="spellStart"/>
      <w:r w:rsidRPr="004D36BD">
        <w:t>income</w:t>
      </w:r>
      <w:proofErr w:type="spellEnd"/>
      <w:r w:rsidRPr="004D36BD">
        <w:t xml:space="preserve"> </w:t>
      </w:r>
      <w:proofErr w:type="spellStart"/>
      <w:r w:rsidRPr="004D36BD">
        <w:t>statement</w:t>
      </w:r>
      <w:proofErr w:type="spellEnd"/>
      <w:r w:rsidRPr="004D36BD">
        <w:t xml:space="preserve">, </w:t>
      </w:r>
      <w:proofErr w:type="spellStart"/>
      <w:r w:rsidRPr="004D36BD">
        <w:t>cash</w:t>
      </w:r>
      <w:proofErr w:type="spellEnd"/>
      <w:r w:rsidRPr="004D36BD">
        <w:t xml:space="preserve"> </w:t>
      </w:r>
      <w:proofErr w:type="spellStart"/>
      <w:r w:rsidRPr="004D36BD">
        <w:t>flow</w:t>
      </w:r>
      <w:proofErr w:type="spellEnd"/>
      <w:r w:rsidRPr="004D36BD">
        <w:t xml:space="preserve"> </w:t>
      </w:r>
      <w:proofErr w:type="spellStart"/>
      <w:r w:rsidRPr="004D36BD">
        <w:t>statement</w:t>
      </w:r>
      <w:proofErr w:type="spellEnd"/>
      <w:r w:rsidRPr="004D36BD">
        <w:t xml:space="preserve">), составленная по международным стандартам финансовой отчетности, на последнюю отчетную дату. </w:t>
      </w:r>
    </w:p>
    <w:p w:rsidR="00C82547" w:rsidRPr="004D36BD" w:rsidRDefault="00C82547" w:rsidP="004D36BD">
      <w:pPr>
        <w:spacing w:after="25" w:line="240" w:lineRule="auto"/>
        <w:ind w:left="0" w:firstLine="0"/>
        <w:contextualSpacing/>
        <w:jc w:val="left"/>
      </w:pPr>
    </w:p>
    <w:p w:rsidR="00C82547" w:rsidRPr="004D36BD" w:rsidRDefault="00721E90" w:rsidP="004D36BD">
      <w:pPr>
        <w:spacing w:after="115" w:line="240" w:lineRule="auto"/>
        <w:ind w:left="-5" w:right="1022" w:hanging="10"/>
        <w:contextualSpacing/>
        <w:jc w:val="left"/>
      </w:pPr>
      <w:r w:rsidRPr="004D36BD">
        <w:rPr>
          <w:b/>
          <w:u w:val="single" w:color="000000"/>
        </w:rPr>
        <w:t>Перечень документов, обязательных для предоставления</w:t>
      </w:r>
      <w:r w:rsidR="004D36BD">
        <w:rPr>
          <w:b/>
        </w:rPr>
        <w:t xml:space="preserve"> </w:t>
      </w:r>
      <w:r w:rsidRPr="004D36BD">
        <w:rPr>
          <w:b/>
          <w:u w:val="single" w:color="000000"/>
        </w:rPr>
        <w:t>для юридических лиц, не являющихся резидентами Российской Федерации:</w:t>
      </w:r>
      <w:r w:rsidRPr="004D36BD">
        <w:rPr>
          <w:b/>
        </w:rPr>
        <w:t xml:space="preserve"> </w:t>
      </w:r>
    </w:p>
    <w:p w:rsidR="00C82547" w:rsidRPr="004D36BD" w:rsidRDefault="00721E90" w:rsidP="004D36BD">
      <w:pPr>
        <w:numPr>
          <w:ilvl w:val="0"/>
          <w:numId w:val="1"/>
        </w:numPr>
        <w:spacing w:line="240" w:lineRule="auto"/>
        <w:ind w:hanging="358"/>
        <w:contextualSpacing/>
      </w:pPr>
      <w:r w:rsidRPr="004D36BD">
        <w:t xml:space="preserve">учредительные документы (учредительный договор, устав); </w:t>
      </w:r>
    </w:p>
    <w:p w:rsidR="007B56A5" w:rsidRPr="004D36BD" w:rsidRDefault="007B56A5" w:rsidP="004D36BD">
      <w:pPr>
        <w:pStyle w:val="a"/>
        <w:widowControl/>
        <w:numPr>
          <w:ilvl w:val="0"/>
          <w:numId w:val="1"/>
        </w:numPr>
        <w:tabs>
          <w:tab w:val="left" w:pos="567"/>
        </w:tabs>
        <w:suppressAutoHyphens/>
        <w:spacing w:before="120" w:after="0"/>
        <w:ind w:hanging="425"/>
        <w:contextualSpacing/>
      </w:pPr>
      <w:r w:rsidRPr="004D36BD">
        <w:t>документ, подтвержда</w:t>
      </w:r>
      <w:r w:rsidRPr="004D36BD">
        <w:rPr>
          <w:szCs w:val="24"/>
        </w:rPr>
        <w:t>ющий регистрацию Контрагента</w:t>
      </w:r>
      <w:r w:rsidRPr="004D36BD">
        <w:t xml:space="preserve"> в стране, отличной от Российской Федерации;</w:t>
      </w:r>
    </w:p>
    <w:p w:rsidR="007B56A5" w:rsidRPr="004D36BD" w:rsidRDefault="007B56A5" w:rsidP="004D36BD">
      <w:pPr>
        <w:pStyle w:val="a"/>
        <w:widowControl/>
        <w:numPr>
          <w:ilvl w:val="0"/>
          <w:numId w:val="1"/>
        </w:numPr>
        <w:tabs>
          <w:tab w:val="left" w:pos="567"/>
        </w:tabs>
        <w:suppressAutoHyphens/>
        <w:spacing w:before="120" w:after="0"/>
        <w:ind w:hanging="425"/>
        <w:contextualSpacing/>
        <w:rPr>
          <w:szCs w:val="24"/>
        </w:rPr>
      </w:pPr>
      <w:r w:rsidRPr="004D36BD">
        <w:rPr>
          <w:szCs w:val="24"/>
        </w:rPr>
        <w:t>документ уполномоченного органа страны, отличной от Российской Федерации, содержащий информацию о лице, имеющем право на подписание договора со стороны Контрагента</w:t>
      </w:r>
    </w:p>
    <w:p w:rsidR="007B56A5" w:rsidRPr="004D36BD" w:rsidRDefault="007B56A5" w:rsidP="004D36BD">
      <w:pPr>
        <w:pStyle w:val="a"/>
        <w:widowControl/>
        <w:numPr>
          <w:ilvl w:val="0"/>
          <w:numId w:val="1"/>
        </w:numPr>
        <w:tabs>
          <w:tab w:val="left" w:pos="567"/>
        </w:tabs>
        <w:suppressAutoHyphens/>
        <w:spacing w:before="120" w:after="0"/>
        <w:ind w:hanging="425"/>
        <w:contextualSpacing/>
      </w:pPr>
      <w:r w:rsidRPr="004D36BD">
        <w:rPr>
          <w:szCs w:val="24"/>
        </w:rPr>
        <w:t>документ уполномоченного органа страны, отличной</w:t>
      </w:r>
      <w:r w:rsidRPr="004D36BD">
        <w:t xml:space="preserve"> от </w:t>
      </w:r>
      <w:r w:rsidRPr="004D36BD">
        <w:rPr>
          <w:szCs w:val="24"/>
        </w:rPr>
        <w:t>Российской Федерации, содержащий информацию об участниках Контрагента</w:t>
      </w:r>
      <w:r w:rsidRPr="004D36BD">
        <w:t>;</w:t>
      </w:r>
    </w:p>
    <w:p w:rsidR="00C82547" w:rsidRPr="004D36BD" w:rsidRDefault="00721E90" w:rsidP="004D36BD">
      <w:pPr>
        <w:numPr>
          <w:ilvl w:val="0"/>
          <w:numId w:val="1"/>
        </w:numPr>
        <w:spacing w:line="240" w:lineRule="auto"/>
        <w:ind w:hanging="358"/>
        <w:contextualSpacing/>
      </w:pPr>
      <w:r w:rsidRPr="004D36BD">
        <w:t xml:space="preserve">выписка из решения коллегиального органа управления Контрагента об одобрении данной сделки (если данная сделка должна быть одобрена в соответствии с применимым законодательством и/или требованиями уставных документов Контрагента); </w:t>
      </w:r>
    </w:p>
    <w:p w:rsidR="00C82547" w:rsidRPr="004D36BD" w:rsidRDefault="00721E90" w:rsidP="004D36BD">
      <w:pPr>
        <w:numPr>
          <w:ilvl w:val="0"/>
          <w:numId w:val="1"/>
        </w:numPr>
        <w:spacing w:line="240" w:lineRule="auto"/>
        <w:ind w:hanging="358"/>
        <w:contextualSpacing/>
      </w:pPr>
      <w:r w:rsidRPr="004D36BD">
        <w:t xml:space="preserve">выписка из Единого государственного реестра юридических лиц по Контрагенту, выданная налоговым органом не ранее, чем за </w:t>
      </w:r>
      <w:r w:rsidR="007B56A5" w:rsidRPr="004D36BD">
        <w:t>1</w:t>
      </w:r>
      <w:r w:rsidRPr="004D36BD">
        <w:t xml:space="preserve"> (</w:t>
      </w:r>
      <w:r w:rsidR="007B56A5" w:rsidRPr="004D36BD">
        <w:t>один</w:t>
      </w:r>
      <w:r w:rsidRPr="004D36BD">
        <w:t xml:space="preserve">) месяц до заключения соответствующего договора; </w:t>
      </w:r>
    </w:p>
    <w:p w:rsidR="00C82547" w:rsidRPr="004D36BD" w:rsidRDefault="00721E90" w:rsidP="004D36BD">
      <w:pPr>
        <w:numPr>
          <w:ilvl w:val="0"/>
          <w:numId w:val="1"/>
        </w:numPr>
        <w:spacing w:line="240" w:lineRule="auto"/>
        <w:ind w:hanging="358"/>
        <w:contextualSpacing/>
      </w:pPr>
      <w:proofErr w:type="spellStart"/>
      <w:r w:rsidRPr="004D36BD">
        <w:t>апостилированное</w:t>
      </w:r>
      <w:proofErr w:type="spellEnd"/>
      <w:r w:rsidRPr="004D36BD">
        <w:t xml:space="preserve"> подтверждение страны постоянного места пребывания иностранного юридического лица; </w:t>
      </w:r>
    </w:p>
    <w:p w:rsidR="00C82547" w:rsidRPr="004D36BD" w:rsidRDefault="00721E90" w:rsidP="004D36BD">
      <w:pPr>
        <w:numPr>
          <w:ilvl w:val="0"/>
          <w:numId w:val="1"/>
        </w:numPr>
        <w:spacing w:after="0" w:line="240" w:lineRule="auto"/>
        <w:ind w:hanging="358"/>
        <w:contextualSpacing/>
      </w:pPr>
      <w:r w:rsidRPr="004D36BD">
        <w:t xml:space="preserve">бухгалтерская отчетность (бухгалтерский баланс и отчет о финансовых результатах, отчет о движении денежных средств), составленная по российским стандартам бухгалтерского учета с отметкой государственной налоговой инспекции о </w:t>
      </w:r>
      <w:proofErr w:type="spellStart"/>
      <w:r w:rsidRPr="004D36BD">
        <w:t>приѐме</w:t>
      </w:r>
      <w:proofErr w:type="spellEnd"/>
      <w:r w:rsidRPr="004D36BD">
        <w:t>, или бухгалтерская отчетность (</w:t>
      </w:r>
      <w:proofErr w:type="spellStart"/>
      <w:r w:rsidRPr="004D36BD">
        <w:t>balance</w:t>
      </w:r>
      <w:proofErr w:type="spellEnd"/>
      <w:r w:rsidRPr="004D36BD">
        <w:t xml:space="preserve"> </w:t>
      </w:r>
      <w:proofErr w:type="spellStart"/>
      <w:r w:rsidRPr="004D36BD">
        <w:t>sheet</w:t>
      </w:r>
      <w:proofErr w:type="spellEnd"/>
      <w:r w:rsidRPr="004D36BD">
        <w:t xml:space="preserve">, </w:t>
      </w:r>
      <w:proofErr w:type="spellStart"/>
      <w:r w:rsidRPr="004D36BD">
        <w:t>income</w:t>
      </w:r>
      <w:proofErr w:type="spellEnd"/>
      <w:r w:rsidRPr="004D36BD">
        <w:t xml:space="preserve"> </w:t>
      </w:r>
      <w:proofErr w:type="spellStart"/>
      <w:r w:rsidRPr="004D36BD">
        <w:t>statement</w:t>
      </w:r>
      <w:proofErr w:type="spellEnd"/>
      <w:r w:rsidRPr="004D36BD">
        <w:t xml:space="preserve">, </w:t>
      </w:r>
      <w:proofErr w:type="spellStart"/>
      <w:r w:rsidRPr="004D36BD">
        <w:t>cash</w:t>
      </w:r>
      <w:proofErr w:type="spellEnd"/>
      <w:r w:rsidRPr="004D36BD">
        <w:t xml:space="preserve"> </w:t>
      </w:r>
      <w:proofErr w:type="spellStart"/>
      <w:r w:rsidRPr="004D36BD">
        <w:t>flow</w:t>
      </w:r>
      <w:proofErr w:type="spellEnd"/>
      <w:r w:rsidRPr="004D36BD">
        <w:t xml:space="preserve"> </w:t>
      </w:r>
      <w:proofErr w:type="spellStart"/>
      <w:r w:rsidRPr="004D36BD">
        <w:t>statement</w:t>
      </w:r>
      <w:proofErr w:type="spellEnd"/>
      <w:r w:rsidRPr="004D36BD">
        <w:t xml:space="preserve">), составленная по международным стандартам финансовой отчетности, на последнюю отчетную дату. </w:t>
      </w:r>
    </w:p>
    <w:p w:rsidR="00C82547" w:rsidRDefault="00721E90" w:rsidP="004D36BD">
      <w:pPr>
        <w:spacing w:after="30" w:line="240" w:lineRule="auto"/>
        <w:ind w:left="0" w:firstLine="0"/>
        <w:contextualSpacing/>
        <w:jc w:val="left"/>
      </w:pPr>
      <w:r w:rsidRPr="004D36BD">
        <w:t xml:space="preserve"> </w:t>
      </w:r>
    </w:p>
    <w:p w:rsidR="004D36BD" w:rsidRDefault="004D36BD" w:rsidP="004D36BD">
      <w:pPr>
        <w:spacing w:after="30" w:line="240" w:lineRule="auto"/>
        <w:ind w:left="0" w:firstLine="0"/>
        <w:contextualSpacing/>
        <w:jc w:val="left"/>
      </w:pPr>
    </w:p>
    <w:p w:rsidR="004D36BD" w:rsidRPr="004D36BD" w:rsidRDefault="004D36BD" w:rsidP="004D36BD">
      <w:pPr>
        <w:spacing w:after="30" w:line="240" w:lineRule="auto"/>
        <w:ind w:left="0" w:firstLine="0"/>
        <w:contextualSpacing/>
        <w:jc w:val="left"/>
      </w:pPr>
      <w:bookmarkStart w:id="0" w:name="_GoBack"/>
      <w:bookmarkEnd w:id="0"/>
    </w:p>
    <w:p w:rsidR="00C82547" w:rsidRPr="004D36BD" w:rsidRDefault="00721E90" w:rsidP="004D36BD">
      <w:pPr>
        <w:spacing w:after="115" w:line="240" w:lineRule="auto"/>
        <w:ind w:left="-5" w:right="2589" w:hanging="10"/>
        <w:contextualSpacing/>
        <w:jc w:val="left"/>
      </w:pPr>
      <w:r w:rsidRPr="004D36BD">
        <w:rPr>
          <w:b/>
          <w:u w:val="single" w:color="000000"/>
        </w:rPr>
        <w:lastRenderedPageBreak/>
        <w:t>Перечень документов, обязательных для предоставления</w:t>
      </w:r>
      <w:r w:rsidR="004D36BD">
        <w:rPr>
          <w:b/>
        </w:rPr>
        <w:t xml:space="preserve"> </w:t>
      </w:r>
      <w:r w:rsidRPr="004D36BD">
        <w:rPr>
          <w:b/>
          <w:u w:val="single" w:color="000000"/>
        </w:rPr>
        <w:t>для индивидуальных предпринимателей:</w:t>
      </w:r>
      <w:r w:rsidR="004D36BD">
        <w:rPr>
          <w:b/>
        </w:rPr>
        <w:t xml:space="preserve"> </w:t>
      </w:r>
    </w:p>
    <w:p w:rsidR="00C82547" w:rsidRPr="004D36BD" w:rsidRDefault="00721E90" w:rsidP="004D36BD">
      <w:pPr>
        <w:numPr>
          <w:ilvl w:val="0"/>
          <w:numId w:val="1"/>
        </w:numPr>
        <w:spacing w:line="240" w:lineRule="auto"/>
        <w:ind w:hanging="358"/>
        <w:contextualSpacing/>
      </w:pPr>
      <w:r w:rsidRPr="004D36BD">
        <w:t xml:space="preserve">свидетельство о государственной регистрации индивидуального предпринимателя; </w:t>
      </w:r>
    </w:p>
    <w:p w:rsidR="00C82547" w:rsidRPr="004D36BD" w:rsidRDefault="00721E90" w:rsidP="004D36BD">
      <w:pPr>
        <w:numPr>
          <w:ilvl w:val="0"/>
          <w:numId w:val="1"/>
        </w:numPr>
        <w:spacing w:line="240" w:lineRule="auto"/>
        <w:ind w:hanging="358"/>
        <w:contextualSpacing/>
      </w:pPr>
      <w:r w:rsidRPr="004D36BD">
        <w:t xml:space="preserve">свидетельство о постановке на учет в налоговом органе по месту жительства, страховое свидетельство обязательного пенсионного страхования; </w:t>
      </w:r>
    </w:p>
    <w:p w:rsidR="00C82547" w:rsidRPr="004D36BD" w:rsidRDefault="00721E90" w:rsidP="004D36BD">
      <w:pPr>
        <w:numPr>
          <w:ilvl w:val="0"/>
          <w:numId w:val="1"/>
        </w:numPr>
        <w:spacing w:line="240" w:lineRule="auto"/>
        <w:ind w:hanging="358"/>
        <w:contextualSpacing/>
      </w:pPr>
      <w:r w:rsidRPr="004D36BD">
        <w:t>выписка из Единого государственного реестра индивидуальных предпринимателей, выданная нало</w:t>
      </w:r>
      <w:r w:rsidR="001D0E98" w:rsidRPr="004D36BD">
        <w:t>говым органом не ранее, чем за 1</w:t>
      </w:r>
      <w:r w:rsidRPr="004D36BD">
        <w:t xml:space="preserve"> (</w:t>
      </w:r>
      <w:r w:rsidR="001D0E98" w:rsidRPr="004D36BD">
        <w:t>один) месяц</w:t>
      </w:r>
      <w:r w:rsidRPr="004D36BD">
        <w:t xml:space="preserve"> до заключения соответствующего договора; </w:t>
      </w:r>
    </w:p>
    <w:p w:rsidR="001D0E98" w:rsidRPr="004D36BD" w:rsidRDefault="001D0E98" w:rsidP="004D36BD">
      <w:pPr>
        <w:pStyle w:val="a6"/>
        <w:numPr>
          <w:ilvl w:val="0"/>
          <w:numId w:val="1"/>
        </w:numPr>
        <w:spacing w:line="240" w:lineRule="auto"/>
      </w:pPr>
      <w:r w:rsidRPr="004D36BD">
        <w:t>копия документа, удостоверяющего личность физического лица (при заключении договора с физическим лицом), его правоустанавливающие документы на объект недвижимости (при заключении договора, связанного с передачей прав на объект недвижимости);</w:t>
      </w:r>
    </w:p>
    <w:p w:rsidR="00C82547" w:rsidRPr="004D36BD" w:rsidRDefault="00721E90" w:rsidP="004D36BD">
      <w:pPr>
        <w:numPr>
          <w:ilvl w:val="0"/>
          <w:numId w:val="1"/>
        </w:numPr>
        <w:spacing w:line="240" w:lineRule="auto"/>
        <w:ind w:hanging="358"/>
        <w:contextualSpacing/>
      </w:pPr>
      <w:r w:rsidRPr="004D36BD">
        <w:t xml:space="preserve">бухгалтерская отчетность (бухгалтерский баланс и отчет о финансовых результатах, отчет о движении денежных средств), составленная по российским стандартам бухгалтерского учета с отметкой государственной налоговой инспекции о </w:t>
      </w:r>
      <w:proofErr w:type="spellStart"/>
      <w:r w:rsidRPr="004D36BD">
        <w:t>приѐме</w:t>
      </w:r>
      <w:proofErr w:type="spellEnd"/>
      <w:r w:rsidRPr="004D36BD">
        <w:t>, или бухгалтерская отчетность (</w:t>
      </w:r>
      <w:proofErr w:type="spellStart"/>
      <w:r w:rsidRPr="004D36BD">
        <w:t>balance</w:t>
      </w:r>
      <w:proofErr w:type="spellEnd"/>
      <w:r w:rsidRPr="004D36BD">
        <w:t xml:space="preserve"> </w:t>
      </w:r>
      <w:proofErr w:type="spellStart"/>
      <w:r w:rsidRPr="004D36BD">
        <w:t>sheet</w:t>
      </w:r>
      <w:proofErr w:type="spellEnd"/>
      <w:r w:rsidRPr="004D36BD">
        <w:t xml:space="preserve">, </w:t>
      </w:r>
      <w:proofErr w:type="spellStart"/>
      <w:r w:rsidRPr="004D36BD">
        <w:t>income</w:t>
      </w:r>
      <w:proofErr w:type="spellEnd"/>
      <w:r w:rsidRPr="004D36BD">
        <w:t xml:space="preserve"> </w:t>
      </w:r>
      <w:proofErr w:type="spellStart"/>
      <w:r w:rsidRPr="004D36BD">
        <w:t>statement</w:t>
      </w:r>
      <w:proofErr w:type="spellEnd"/>
      <w:r w:rsidRPr="004D36BD">
        <w:t xml:space="preserve">, </w:t>
      </w:r>
      <w:proofErr w:type="spellStart"/>
      <w:r w:rsidRPr="004D36BD">
        <w:t>cash</w:t>
      </w:r>
      <w:proofErr w:type="spellEnd"/>
      <w:r w:rsidRPr="004D36BD">
        <w:t xml:space="preserve"> </w:t>
      </w:r>
      <w:proofErr w:type="spellStart"/>
      <w:r w:rsidRPr="004D36BD">
        <w:t>flow</w:t>
      </w:r>
      <w:proofErr w:type="spellEnd"/>
      <w:r w:rsidRPr="004D36BD">
        <w:t xml:space="preserve"> </w:t>
      </w:r>
      <w:proofErr w:type="spellStart"/>
      <w:r w:rsidRPr="004D36BD">
        <w:t>statement</w:t>
      </w:r>
      <w:proofErr w:type="spellEnd"/>
      <w:r w:rsidRPr="004D36BD">
        <w:t xml:space="preserve">), составленная по международным стандартам финансовой отчетности, на последнюю отчетную дату; </w:t>
      </w:r>
    </w:p>
    <w:p w:rsidR="001D0E98" w:rsidRPr="004D36BD" w:rsidRDefault="001D0E98" w:rsidP="004D36BD">
      <w:pPr>
        <w:numPr>
          <w:ilvl w:val="0"/>
          <w:numId w:val="1"/>
        </w:numPr>
        <w:spacing w:line="240" w:lineRule="auto"/>
        <w:ind w:hanging="358"/>
        <w:contextualSpacing/>
      </w:pPr>
      <w:r w:rsidRPr="004D36BD">
        <w:t>подтверждающие документы налогового органа (уведомления, свидетельства и пр.) в случае применения льготных режимов налогообложения;</w:t>
      </w:r>
    </w:p>
    <w:p w:rsidR="00C82547" w:rsidRPr="004D36BD" w:rsidRDefault="00721E90" w:rsidP="004D36BD">
      <w:pPr>
        <w:numPr>
          <w:ilvl w:val="0"/>
          <w:numId w:val="1"/>
        </w:numPr>
        <w:spacing w:after="83" w:line="240" w:lineRule="auto"/>
        <w:ind w:hanging="358"/>
        <w:contextualSpacing/>
      </w:pPr>
      <w:proofErr w:type="spellStart"/>
      <w:r w:rsidRPr="004D36BD">
        <w:t>апостилированное</w:t>
      </w:r>
      <w:proofErr w:type="spellEnd"/>
      <w:r w:rsidRPr="004D36BD">
        <w:t xml:space="preserve"> подтверждение страны постоянного места пребывания индивидуального предпринимателя (если договор заключается с нерезидентом РФ). </w:t>
      </w:r>
    </w:p>
    <w:p w:rsidR="00C82547" w:rsidRDefault="00721E90" w:rsidP="004D36BD">
      <w:pPr>
        <w:spacing w:after="0" w:line="240" w:lineRule="auto"/>
        <w:ind w:left="538" w:firstLine="0"/>
        <w:contextualSpacing/>
        <w:jc w:val="left"/>
      </w:pPr>
      <w:r>
        <w:t xml:space="preserve"> </w:t>
      </w:r>
    </w:p>
    <w:p w:rsidR="00C82547" w:rsidRDefault="00721E90" w:rsidP="004D36BD">
      <w:pPr>
        <w:spacing w:after="0" w:line="240" w:lineRule="auto"/>
        <w:ind w:left="0" w:firstLine="0"/>
        <w:contextualSpacing/>
        <w:jc w:val="left"/>
      </w:pPr>
      <w:r>
        <w:t xml:space="preserve"> </w:t>
      </w:r>
    </w:p>
    <w:p w:rsidR="00C82547" w:rsidRDefault="00721E90" w:rsidP="004D36BD">
      <w:pPr>
        <w:spacing w:after="96" w:line="240" w:lineRule="auto"/>
        <w:ind w:left="0" w:firstLine="0"/>
        <w:contextualSpacing/>
        <w:jc w:val="left"/>
      </w:pPr>
      <w:r>
        <w:t xml:space="preserve"> </w:t>
      </w:r>
    </w:p>
    <w:p w:rsidR="00C82547" w:rsidRDefault="00721E90" w:rsidP="004D36BD">
      <w:pPr>
        <w:spacing w:after="0" w:line="240" w:lineRule="auto"/>
        <w:ind w:left="538" w:firstLine="0"/>
        <w:contextualSpacing/>
        <w:jc w:val="left"/>
      </w:pPr>
      <w:r>
        <w:t xml:space="preserve"> </w:t>
      </w:r>
    </w:p>
    <w:sectPr w:rsidR="00C82547" w:rsidSect="004D36BD">
      <w:pgSz w:w="11906" w:h="16838"/>
      <w:pgMar w:top="1182" w:right="1133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DEB3E0"/>
    <w:lvl w:ilvl="0">
      <w:start w:val="1"/>
      <w:numFmt w:val="bullet"/>
      <w:pStyle w:val="a"/>
      <w:lvlText w:val=""/>
      <w:lvlJc w:val="left"/>
      <w:pPr>
        <w:ind w:left="1211" w:hanging="360"/>
      </w:pPr>
      <w:rPr>
        <w:rFonts w:ascii="Wingdings" w:hAnsi="Wingdings" w:hint="default"/>
        <w:b w:val="0"/>
        <w:i w:val="0"/>
        <w:color w:val="000000"/>
        <w:sz w:val="24"/>
      </w:rPr>
    </w:lvl>
  </w:abstractNum>
  <w:abstractNum w:abstractNumId="1" w15:restartNumberingAfterBreak="0">
    <w:nsid w:val="21A5724C"/>
    <w:multiLevelType w:val="hybridMultilevel"/>
    <w:tmpl w:val="3E6E626A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21C254D"/>
    <w:multiLevelType w:val="hybridMultilevel"/>
    <w:tmpl w:val="76925864"/>
    <w:lvl w:ilvl="0" w:tplc="7FA44E9A">
      <w:start w:val="1"/>
      <w:numFmt w:val="bullet"/>
      <w:lvlText w:val=""/>
      <w:lvlJc w:val="left"/>
      <w:pPr>
        <w:ind w:left="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A1CA4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E36CE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8399A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2765C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A5094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E44AC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E5A1C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E3B18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47"/>
    <w:rsid w:val="001D0E98"/>
    <w:rsid w:val="004D36BD"/>
    <w:rsid w:val="00721E90"/>
    <w:rsid w:val="007B56A5"/>
    <w:rsid w:val="008906B8"/>
    <w:rsid w:val="00C8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9EC7-09BB-477D-AFF5-F97A05C2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36" w:line="269" w:lineRule="auto"/>
      <w:ind w:left="548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B56A5"/>
    <w:rPr>
      <w:color w:val="0000FF"/>
      <w:u w:val="single"/>
    </w:rPr>
  </w:style>
  <w:style w:type="paragraph" w:styleId="a">
    <w:name w:val="List Bullet"/>
    <w:basedOn w:val="a0"/>
    <w:link w:val="a5"/>
    <w:uiPriority w:val="99"/>
    <w:rsid w:val="007B56A5"/>
    <w:pPr>
      <w:widowControl w:val="0"/>
      <w:numPr>
        <w:numId w:val="2"/>
      </w:numPr>
      <w:autoSpaceDE w:val="0"/>
      <w:autoSpaceDN w:val="0"/>
      <w:adjustRightInd w:val="0"/>
      <w:spacing w:after="60" w:line="240" w:lineRule="auto"/>
    </w:pPr>
    <w:rPr>
      <w:color w:val="auto"/>
      <w:szCs w:val="20"/>
    </w:rPr>
  </w:style>
  <w:style w:type="character" w:customStyle="1" w:styleId="a5">
    <w:name w:val="Маркированный список Знак"/>
    <w:link w:val="a"/>
    <w:uiPriority w:val="99"/>
    <w:rsid w:val="007B56A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1D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RN-Card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Лыженков</dc:creator>
  <cp:keywords/>
  <cp:lastModifiedBy>gorbunovma</cp:lastModifiedBy>
  <cp:revision>3</cp:revision>
  <dcterms:created xsi:type="dcterms:W3CDTF">2020-02-28T07:54:00Z</dcterms:created>
  <dcterms:modified xsi:type="dcterms:W3CDTF">2020-02-28T07:54:00Z</dcterms:modified>
</cp:coreProperties>
</file>